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jc w:val="center"/>
        <w:rPr>
          <w:rFonts w:hint="eastAsia" w:ascii="宋体" w:hAnsi="宋体"/>
          <w:b/>
          <w:sz w:val="56"/>
          <w:szCs w:val="56"/>
        </w:rPr>
      </w:pPr>
      <w:r>
        <w:rPr>
          <w:rFonts w:hint="eastAsia" w:ascii="宋体" w:hAnsi="宋体"/>
          <w:b/>
          <w:sz w:val="56"/>
          <w:szCs w:val="56"/>
          <w:lang w:val="en-US" w:eastAsia="zh-CN"/>
        </w:rPr>
        <w:t>昌吉州</w:t>
      </w:r>
      <w:r>
        <w:rPr>
          <w:rFonts w:hint="eastAsia" w:ascii="宋体" w:hAnsi="宋体"/>
          <w:b/>
          <w:sz w:val="56"/>
          <w:szCs w:val="56"/>
        </w:rPr>
        <w:t>公共资源</w:t>
      </w:r>
      <w:r>
        <w:rPr>
          <w:rFonts w:hint="eastAsia" w:ascii="宋体" w:hAnsi="宋体"/>
          <w:b/>
          <w:sz w:val="56"/>
          <w:szCs w:val="56"/>
          <w:lang w:val="en-US" w:eastAsia="zh-CN"/>
        </w:rPr>
        <w:t>银行</w:t>
      </w:r>
      <w:r>
        <w:rPr>
          <w:rFonts w:hint="eastAsia" w:ascii="宋体" w:hAnsi="宋体"/>
          <w:b/>
          <w:sz w:val="56"/>
          <w:szCs w:val="56"/>
        </w:rPr>
        <w:t>电子保函</w:t>
      </w:r>
    </w:p>
    <w:p>
      <w:pPr>
        <w:jc w:val="center"/>
        <w:rPr>
          <w:b/>
          <w:sz w:val="52"/>
          <w:szCs w:val="52"/>
        </w:rPr>
      </w:pPr>
      <w:r>
        <w:rPr>
          <w:rFonts w:hint="eastAsia" w:ascii="宋体" w:hAnsi="宋体"/>
          <w:b/>
          <w:sz w:val="56"/>
          <w:szCs w:val="56"/>
        </w:rPr>
        <w:t>服务平台</w:t>
      </w:r>
    </w:p>
    <w:p>
      <w:pPr>
        <w:jc w:val="center"/>
        <w:rPr>
          <w:b/>
          <w:sz w:val="52"/>
          <w:szCs w:val="52"/>
        </w:rPr>
      </w:pPr>
    </w:p>
    <w:p>
      <w:pPr>
        <w:jc w:val="center"/>
        <w:rPr>
          <w:rFonts w:eastAsia="楷体_GB2312"/>
          <w:sz w:val="36"/>
          <w:szCs w:val="36"/>
        </w:rPr>
      </w:pPr>
      <w:r>
        <w:rPr>
          <w:rFonts w:hint="eastAsia"/>
          <w:b/>
          <w:sz w:val="52"/>
          <w:szCs w:val="52"/>
        </w:rPr>
        <w:t>用户操作手册</w:t>
      </w:r>
    </w:p>
    <w:p>
      <w:pPr>
        <w:rPr>
          <w:b/>
          <w:sz w:val="48"/>
          <w:szCs w:val="48"/>
        </w:rPr>
      </w:pPr>
    </w:p>
    <w:p>
      <w:r>
        <w:rPr>
          <w:b/>
          <w:sz w:val="48"/>
          <w:szCs w:val="48"/>
        </w:rPr>
        <w:br w:type="page"/>
      </w:r>
    </w:p>
    <w:p>
      <w:pPr>
        <w:rPr>
          <w:rFonts w:ascii="宋体" w:hAnsi="宋体"/>
          <w:b/>
          <w:bCs/>
          <w:sz w:val="44"/>
          <w:szCs w:val="36"/>
        </w:rPr>
      </w:pPr>
    </w:p>
    <w:p>
      <w:pPr>
        <w:jc w:val="center"/>
        <w:rPr>
          <w:b/>
          <w:szCs w:val="21"/>
        </w:rPr>
      </w:pPr>
      <w:r>
        <w:rPr>
          <w:rFonts w:hint="eastAsia"/>
          <w:b/>
          <w:sz w:val="48"/>
          <w:szCs w:val="48"/>
        </w:rPr>
        <w:t>目录</w:t>
      </w:r>
    </w:p>
    <w:p>
      <w:pPr>
        <w:pStyle w:val="6"/>
        <w:tabs>
          <w:tab w:val="right" w:leader="dot" w:pos="8900"/>
          <w:tab w:val="clear" w:pos="480"/>
          <w:tab w:val="clear" w:pos="8890"/>
        </w:tabs>
      </w:pPr>
      <w:r>
        <w:rPr>
          <w:bCs w:val="0"/>
          <w:caps w:val="0"/>
          <w:sz w:val="28"/>
        </w:rPr>
        <w:fldChar w:fldCharType="begin"/>
      </w:r>
      <w:r>
        <w:rPr>
          <w:bCs w:val="0"/>
          <w:caps w:val="0"/>
          <w:sz w:val="28"/>
        </w:rPr>
        <w:instrText xml:space="preserve"> TOC \o "1-3" \h \z \u </w:instrText>
      </w:r>
      <w:r>
        <w:rPr>
          <w:bCs w:val="0"/>
          <w:caps w:val="0"/>
          <w:sz w:val="28"/>
        </w:rPr>
        <w:fldChar w:fldCharType="separate"/>
      </w:r>
      <w:r>
        <w:fldChar w:fldCharType="begin"/>
      </w:r>
      <w:r>
        <w:instrText xml:space="preserve"> HYPERLINK \l "_Toc4202" </w:instrText>
      </w:r>
      <w:r>
        <w:fldChar w:fldCharType="separate"/>
      </w:r>
      <w:r>
        <w:rPr>
          <w:bCs w:val="0"/>
        </w:rPr>
        <w:t xml:space="preserve">1 </w:t>
      </w:r>
      <w:r>
        <w:rPr>
          <w:rFonts w:hint="eastAsia"/>
          <w:bCs w:val="0"/>
        </w:rPr>
        <w:t>系统简介</w:t>
      </w:r>
      <w:r>
        <w:tab/>
      </w:r>
      <w:r>
        <w:fldChar w:fldCharType="begin"/>
      </w:r>
      <w:r>
        <w:instrText xml:space="preserve"> PAGEREF _Toc4202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900"/>
          <w:tab w:val="clear" w:pos="480"/>
          <w:tab w:val="clear" w:pos="8890"/>
        </w:tabs>
      </w:pPr>
      <w:r>
        <w:fldChar w:fldCharType="begin"/>
      </w:r>
      <w:r>
        <w:instrText xml:space="preserve"> HYPERLINK \l "_Toc26481" </w:instrText>
      </w:r>
      <w:r>
        <w:fldChar w:fldCharType="separate"/>
      </w:r>
      <w:r>
        <w:rPr>
          <w:bCs w:val="0"/>
        </w:rPr>
        <w:t>2</w:t>
      </w:r>
      <w:r>
        <w:rPr>
          <w:rFonts w:hint="eastAsia"/>
          <w:bCs w:val="0"/>
        </w:rPr>
        <w:t xml:space="preserve"> 系统登录</w:t>
      </w:r>
      <w:r>
        <w:tab/>
      </w:r>
      <w:r>
        <w:fldChar w:fldCharType="begin"/>
      </w:r>
      <w:r>
        <w:instrText xml:space="preserve"> PAGEREF _Toc26481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900"/>
          <w:tab w:val="clear" w:pos="480"/>
          <w:tab w:val="clear" w:pos="8890"/>
        </w:tabs>
      </w:pPr>
      <w:r>
        <w:fldChar w:fldCharType="begin"/>
      </w:r>
      <w:r>
        <w:instrText xml:space="preserve"> HYPERLINK \l "_Toc16760" </w:instrText>
      </w:r>
      <w:r>
        <w:fldChar w:fldCharType="separate"/>
      </w:r>
      <w:r>
        <w:rPr>
          <w:bCs w:val="0"/>
        </w:rPr>
        <w:t>3</w:t>
      </w:r>
      <w:r>
        <w:rPr>
          <w:rFonts w:hint="eastAsia"/>
          <w:bCs w:val="0"/>
        </w:rPr>
        <w:t xml:space="preserve"> 保函申请</w:t>
      </w:r>
      <w:r>
        <w:tab/>
      </w:r>
      <w:r>
        <w:fldChar w:fldCharType="begin"/>
      </w:r>
      <w:r>
        <w:instrText xml:space="preserve"> PAGEREF _Toc16760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r>
        <w:rPr>
          <w:bCs/>
          <w:caps/>
        </w:rPr>
        <w:fldChar w:fldCharType="end"/>
      </w: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  <w:bookmarkStart w:id="0" w:name="_Toc187807629"/>
      <w:bookmarkEnd w:id="0"/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spacing w:before="156" w:beforeLines="50" w:after="156" w:afterLines="50" w:line="300" w:lineRule="auto"/>
        <w:ind w:left="840" w:leftChars="200" w:hanging="420" w:hangingChars="200"/>
        <w:jc w:val="left"/>
      </w:pPr>
    </w:p>
    <w:p>
      <w:pPr>
        <w:pStyle w:val="2"/>
        <w:numPr>
          <w:ilvl w:val="0"/>
          <w:numId w:val="0"/>
        </w:numPr>
        <w:rPr>
          <w:rStyle w:val="9"/>
          <w:b/>
          <w:bCs w:val="0"/>
          <w:sz w:val="28"/>
        </w:rPr>
      </w:pPr>
      <w:bookmarkStart w:id="1" w:name="_Toc4202"/>
      <w:bookmarkStart w:id="2" w:name="_Toc71892061"/>
      <w:r>
        <w:rPr>
          <w:rStyle w:val="9"/>
          <w:b/>
          <w:bCs w:val="0"/>
          <w:sz w:val="28"/>
        </w:rPr>
        <w:t xml:space="preserve">1 </w:t>
      </w:r>
      <w:r>
        <w:rPr>
          <w:rStyle w:val="9"/>
          <w:rFonts w:hint="eastAsia"/>
          <w:b/>
          <w:bCs w:val="0"/>
          <w:sz w:val="28"/>
        </w:rPr>
        <w:t>系统简介</w:t>
      </w:r>
      <w:bookmarkEnd w:id="1"/>
      <w:r>
        <w:rPr>
          <w:rStyle w:val="9"/>
          <w:rFonts w:hint="eastAsia"/>
          <w:b/>
          <w:bCs w:val="0"/>
          <w:sz w:val="28"/>
        </w:rPr>
        <w:t>　</w:t>
      </w:r>
    </w:p>
    <w:bookmarkEnd w:id="2"/>
    <w:p>
      <w:pPr>
        <w:spacing w:before="100" w:beforeAutospacing="1" w:after="100" w:afterAutospacing="1" w:line="420" w:lineRule="auto"/>
        <w:rPr>
          <w:rFonts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　　</w:t>
      </w:r>
      <w:r>
        <w:rPr>
          <w:rFonts w:hint="eastAsia" w:ascii="新宋体" w:hAnsi="新宋体" w:eastAsia="新宋体"/>
          <w:sz w:val="28"/>
          <w:lang w:val="en-US" w:eastAsia="zh-CN"/>
        </w:rPr>
        <w:t>昌吉州</w:t>
      </w:r>
      <w:r>
        <w:rPr>
          <w:rFonts w:hint="eastAsia" w:ascii="新宋体" w:hAnsi="新宋体" w:eastAsia="新宋体"/>
          <w:sz w:val="28"/>
        </w:rPr>
        <w:t>电子保函平台依托电子保函业务的发展、通过与</w:t>
      </w:r>
      <w:r>
        <w:rPr>
          <w:rFonts w:hint="eastAsia" w:ascii="新宋体" w:hAnsi="新宋体" w:eastAsia="新宋体"/>
          <w:sz w:val="28"/>
          <w:lang w:val="en-US" w:eastAsia="zh-CN"/>
        </w:rPr>
        <w:t>昌吉州电子</w:t>
      </w:r>
      <w:r>
        <w:rPr>
          <w:rFonts w:hint="eastAsia" w:ascii="新宋体" w:hAnsi="新宋体" w:eastAsia="新宋体"/>
          <w:sz w:val="28"/>
        </w:rPr>
        <w:t>交易</w:t>
      </w:r>
      <w:r>
        <w:rPr>
          <w:rFonts w:hint="eastAsia" w:ascii="新宋体" w:hAnsi="新宋体" w:eastAsia="新宋体"/>
          <w:sz w:val="28"/>
          <w:lang w:val="en-US" w:eastAsia="zh-CN"/>
        </w:rPr>
        <w:t>平台</w:t>
      </w:r>
      <w:r>
        <w:rPr>
          <w:rFonts w:hint="eastAsia" w:ascii="新宋体" w:hAnsi="新宋体" w:eastAsia="新宋体"/>
          <w:sz w:val="28"/>
        </w:rPr>
        <w:t>、金融行业对接。利用</w:t>
      </w:r>
      <w:r>
        <w:rPr>
          <w:rFonts w:ascii="新宋体" w:hAnsi="新宋体" w:eastAsia="新宋体"/>
          <w:sz w:val="28"/>
        </w:rPr>
        <w:t>CA证书登录、电子签章等前沿技术，实现工程企业办理保函、申请发票、在线理赔等业务的流程化、电子化办理。</w:t>
      </w:r>
    </w:p>
    <w:p>
      <w:pPr>
        <w:spacing w:before="100" w:beforeAutospacing="1" w:after="100" w:afterAutospacing="1" w:line="420" w:lineRule="auto"/>
        <w:ind w:firstLine="560" w:firstLineChars="200"/>
        <w:rPr>
          <w:rFonts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平台通过</w:t>
      </w:r>
      <w:r>
        <w:rPr>
          <w:rFonts w:ascii="新宋体" w:hAnsi="新宋体" w:eastAsia="新宋体"/>
          <w:sz w:val="28"/>
        </w:rPr>
        <w:t>深度融合</w:t>
      </w:r>
      <w:r>
        <w:rPr>
          <w:rFonts w:hint="eastAsia" w:ascii="新宋体" w:hAnsi="新宋体" w:eastAsia="新宋体"/>
          <w:sz w:val="28"/>
          <w:lang w:val="en-US" w:eastAsia="zh-CN"/>
        </w:rPr>
        <w:t>昌吉州</w:t>
      </w:r>
      <w:r>
        <w:rPr>
          <w:rFonts w:ascii="新宋体" w:hAnsi="新宋体" w:eastAsia="新宋体"/>
          <w:sz w:val="28"/>
        </w:rPr>
        <w:t>公共资源</w:t>
      </w:r>
      <w:r>
        <w:rPr>
          <w:rFonts w:hint="eastAsia" w:ascii="新宋体" w:hAnsi="新宋体" w:eastAsia="新宋体"/>
          <w:sz w:val="28"/>
          <w:lang w:val="en-US" w:eastAsia="zh-CN"/>
        </w:rPr>
        <w:t>电子</w:t>
      </w:r>
      <w:r>
        <w:rPr>
          <w:rFonts w:ascii="新宋体" w:hAnsi="新宋体" w:eastAsia="新宋体"/>
          <w:sz w:val="28"/>
        </w:rPr>
        <w:t>交易</w:t>
      </w:r>
      <w:r>
        <w:rPr>
          <w:rFonts w:hint="eastAsia" w:ascii="新宋体" w:hAnsi="新宋体" w:eastAsia="新宋体"/>
          <w:sz w:val="28"/>
          <w:lang w:val="en-US" w:eastAsia="zh-CN"/>
        </w:rPr>
        <w:t>平台</w:t>
      </w:r>
      <w:r>
        <w:rPr>
          <w:rFonts w:hint="eastAsia" w:ascii="新宋体" w:hAnsi="新宋体" w:eastAsia="新宋体"/>
          <w:sz w:val="28"/>
        </w:rPr>
        <w:t>，为相关企业提供保函业务快捷办理通道，</w:t>
      </w:r>
      <w:r>
        <w:rPr>
          <w:rFonts w:ascii="新宋体" w:hAnsi="新宋体" w:eastAsia="新宋体"/>
          <w:sz w:val="28"/>
        </w:rPr>
        <w:t>从而提升招投标效率。电子保函</w:t>
      </w:r>
      <w:r>
        <w:rPr>
          <w:rFonts w:hint="eastAsia" w:ascii="新宋体" w:hAnsi="新宋体" w:eastAsia="新宋体"/>
          <w:sz w:val="28"/>
          <w:lang w:val="en-US" w:eastAsia="zh-CN"/>
        </w:rPr>
        <w:t>服务</w:t>
      </w:r>
      <w:r>
        <w:rPr>
          <w:rFonts w:ascii="新宋体" w:hAnsi="新宋体" w:eastAsia="新宋体"/>
          <w:sz w:val="28"/>
        </w:rPr>
        <w:t>平台通过数据流、业务流的深度交互将保函资料同步上传至</w:t>
      </w:r>
      <w:r>
        <w:rPr>
          <w:rFonts w:hint="eastAsia" w:ascii="新宋体" w:hAnsi="新宋体" w:eastAsia="新宋体"/>
          <w:sz w:val="28"/>
          <w:lang w:val="en-US" w:eastAsia="zh-CN"/>
        </w:rPr>
        <w:t>昌吉州</w:t>
      </w:r>
      <w:r>
        <w:rPr>
          <w:rFonts w:ascii="新宋体" w:hAnsi="新宋体" w:eastAsia="新宋体"/>
          <w:sz w:val="28"/>
        </w:rPr>
        <w:t>公共资源</w:t>
      </w:r>
      <w:r>
        <w:rPr>
          <w:rFonts w:hint="eastAsia" w:ascii="新宋体" w:hAnsi="新宋体" w:eastAsia="新宋体"/>
          <w:sz w:val="28"/>
          <w:lang w:val="en-US" w:eastAsia="zh-CN"/>
        </w:rPr>
        <w:t>电子</w:t>
      </w:r>
      <w:r>
        <w:rPr>
          <w:rFonts w:ascii="新宋体" w:hAnsi="新宋体" w:eastAsia="新宋体"/>
          <w:sz w:val="28"/>
        </w:rPr>
        <w:t>交易平台，</w:t>
      </w:r>
      <w:r>
        <w:rPr>
          <w:rFonts w:hint="eastAsia" w:ascii="新宋体" w:hAnsi="新宋体" w:eastAsia="新宋体"/>
          <w:sz w:val="28"/>
        </w:rPr>
        <w:t>方便</w:t>
      </w:r>
      <w:r>
        <w:rPr>
          <w:rFonts w:ascii="新宋体" w:hAnsi="新宋体" w:eastAsia="新宋体"/>
          <w:sz w:val="28"/>
        </w:rPr>
        <w:t>投标企业直接在线打印保函。</w:t>
      </w:r>
    </w:p>
    <w:p>
      <w:pPr>
        <w:pStyle w:val="2"/>
        <w:numPr>
          <w:ilvl w:val="0"/>
          <w:numId w:val="0"/>
        </w:numPr>
        <w:rPr>
          <w:sz w:val="28"/>
        </w:rPr>
      </w:pPr>
      <w:bookmarkStart w:id="3" w:name="_Toc26481"/>
      <w:r>
        <w:rPr>
          <w:rStyle w:val="9"/>
          <w:b/>
          <w:bCs w:val="0"/>
          <w:sz w:val="28"/>
        </w:rPr>
        <w:t>2</w:t>
      </w:r>
      <w:r>
        <w:rPr>
          <w:rStyle w:val="9"/>
          <w:rFonts w:hint="eastAsia"/>
          <w:b/>
          <w:bCs w:val="0"/>
          <w:sz w:val="28"/>
        </w:rPr>
        <w:t xml:space="preserve"> 系统登录</w:t>
      </w:r>
      <w:bookmarkEnd w:id="3"/>
      <w:r>
        <w:rPr>
          <w:rStyle w:val="9"/>
          <w:rFonts w:hint="eastAsia"/>
          <w:b/>
          <w:bCs w:val="0"/>
          <w:sz w:val="28"/>
        </w:rPr>
        <w:t>　</w:t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t xml:space="preserve">    </w:t>
      </w:r>
      <w:r>
        <w:rPr>
          <w:rFonts w:hint="eastAsia" w:ascii="宋体" w:hAnsi="宋体"/>
        </w:rPr>
        <w:t>　</w:t>
      </w:r>
    </w:p>
    <w:p>
      <w:pPr>
        <w:spacing w:before="100" w:beforeAutospacing="1" w:after="100" w:afterAutospacing="1" w:line="420" w:lineRule="auto"/>
        <w:ind w:firstLine="560" w:firstLineChars="200"/>
        <w:rPr>
          <w:rFonts w:hint="eastAsia"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①进入</w:t>
      </w:r>
      <w:r>
        <w:rPr>
          <w:rFonts w:hint="eastAsia" w:ascii="新宋体" w:hAnsi="新宋体" w:eastAsia="新宋体"/>
          <w:sz w:val="28"/>
          <w:lang w:val="en-US" w:eastAsia="zh-CN"/>
        </w:rPr>
        <w:t>昌吉州</w:t>
      </w:r>
      <w:r>
        <w:rPr>
          <w:rFonts w:hint="eastAsia" w:ascii="新宋体" w:hAnsi="新宋体" w:eastAsia="新宋体"/>
          <w:sz w:val="28"/>
        </w:rPr>
        <w:t>公共资源交易网：http://www.cjzwfw.cn/cjggzy/，点击“</w:t>
      </w:r>
      <w:r>
        <w:rPr>
          <w:rFonts w:hint="eastAsia" w:ascii="新宋体" w:hAnsi="新宋体" w:eastAsia="新宋体"/>
          <w:sz w:val="28"/>
          <w:lang w:val="en-US" w:eastAsia="zh-CN"/>
        </w:rPr>
        <w:t>市场</w:t>
      </w:r>
      <w:r>
        <w:rPr>
          <w:rFonts w:hint="eastAsia" w:ascii="新宋体" w:hAnsi="新宋体" w:eastAsia="新宋体"/>
          <w:sz w:val="28"/>
        </w:rPr>
        <w:t>交易主体</w:t>
      </w:r>
      <w:r>
        <w:rPr>
          <w:rFonts w:hint="eastAsia" w:ascii="新宋体" w:hAnsi="新宋体" w:eastAsia="新宋体"/>
          <w:sz w:val="28"/>
          <w:lang w:val="en-US" w:eastAsia="zh-CN"/>
        </w:rPr>
        <w:t>/</w:t>
      </w:r>
      <w:r>
        <w:rPr>
          <w:rFonts w:hint="eastAsia" w:ascii="新宋体" w:hAnsi="新宋体" w:eastAsia="新宋体"/>
          <w:sz w:val="28"/>
        </w:rPr>
        <w:t>登录”。</w:t>
      </w:r>
    </w:p>
    <w:p>
      <w:r>
        <w:drawing>
          <wp:inline distT="0" distB="0" distL="114300" distR="114300">
            <wp:extent cx="5274310" cy="2583180"/>
            <wp:effectExtent l="0" t="0" r="1397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beforeAutospacing="1" w:after="100" w:afterAutospacing="1" w:line="420" w:lineRule="auto"/>
        <w:ind w:firstLine="560" w:firstLineChars="200"/>
        <w:rPr>
          <w:rFonts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②选择证书key登录（CA登录），输入CA锁密码，点击登录。</w:t>
      </w:r>
    </w:p>
    <w:p>
      <w:r>
        <w:drawing>
          <wp:inline distT="0" distB="0" distL="114300" distR="114300">
            <wp:extent cx="5266690" cy="2240915"/>
            <wp:effectExtent l="0" t="0" r="635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beforeAutospacing="1" w:after="100" w:afterAutospacing="1" w:line="420" w:lineRule="auto"/>
        <w:ind w:firstLine="560" w:firstLineChars="200"/>
        <w:rPr>
          <w:rFonts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③选择登录主体类型</w:t>
      </w:r>
      <w:r>
        <w:rPr>
          <w:rFonts w:hint="eastAsia" w:ascii="新宋体" w:hAnsi="新宋体" w:eastAsia="新宋体"/>
          <w:sz w:val="28"/>
          <w:lang w:eastAsia="zh-CN"/>
        </w:rPr>
        <w:t>【</w:t>
      </w:r>
      <w:r>
        <w:rPr>
          <w:rFonts w:hint="eastAsia" w:ascii="新宋体" w:hAnsi="新宋体" w:eastAsia="新宋体"/>
          <w:sz w:val="28"/>
          <w:lang w:val="en-US" w:eastAsia="zh-CN"/>
        </w:rPr>
        <w:t>交易乙方</w:t>
      </w:r>
      <w:r>
        <w:rPr>
          <w:rFonts w:hint="eastAsia" w:ascii="新宋体" w:hAnsi="新宋体" w:eastAsia="新宋体"/>
          <w:sz w:val="28"/>
          <w:lang w:eastAsia="zh-CN"/>
        </w:rPr>
        <w:t>】</w:t>
      </w:r>
      <w:r>
        <w:rPr>
          <w:rFonts w:hint="eastAsia" w:ascii="新宋体" w:hAnsi="新宋体" w:eastAsia="新宋体"/>
          <w:sz w:val="28"/>
        </w:rPr>
        <w:t>，进入电子招投标交易平台。</w:t>
      </w:r>
    </w:p>
    <w:p>
      <w:pPr>
        <w:jc w:val="center"/>
        <w:rPr>
          <w:rFonts w:hint="eastAsia"/>
        </w:rPr>
      </w:pPr>
      <w:r>
        <w:drawing>
          <wp:inline distT="0" distB="0" distL="114300" distR="114300">
            <wp:extent cx="5272405" cy="1718310"/>
            <wp:effectExtent l="0" t="0" r="635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beforeAutospacing="1" w:after="100" w:afterAutospacing="1" w:line="420" w:lineRule="auto"/>
        <w:ind w:firstLine="560" w:firstLineChars="200"/>
        <w:rPr>
          <w:rFonts w:hint="eastAsia" w:ascii="新宋体" w:hAnsi="新宋体" w:eastAsia="新宋体"/>
          <w:sz w:val="28"/>
          <w:lang w:val="en-US" w:eastAsia="zh-CN"/>
        </w:rPr>
      </w:pPr>
      <w:r>
        <w:rPr>
          <w:rFonts w:hint="eastAsia" w:ascii="新宋体" w:hAnsi="新宋体" w:eastAsia="新宋体"/>
          <w:sz w:val="28"/>
        </w:rPr>
        <w:t>④</w:t>
      </w:r>
      <w:r>
        <w:rPr>
          <w:rFonts w:hint="eastAsia" w:ascii="新宋体" w:hAnsi="新宋体" w:eastAsia="新宋体"/>
          <w:sz w:val="28"/>
          <w:lang w:val="en-US" w:eastAsia="zh-CN"/>
        </w:rPr>
        <w:t>进入“我的项目”-找到要申请保函的项目，然后点击“保函申请”。</w:t>
      </w:r>
    </w:p>
    <w:p>
      <w:pPr>
        <w:spacing w:before="100" w:beforeAutospacing="1" w:after="100" w:afterAutospacing="1" w:line="420" w:lineRule="auto"/>
        <w:ind w:firstLine="420" w:firstLineChars="200"/>
        <w:rPr>
          <w:rFonts w:hint="eastAsia" w:ascii="新宋体" w:hAnsi="新宋体" w:eastAsia="新宋体"/>
          <w:sz w:val="28"/>
          <w:lang w:val="en-US" w:eastAsia="zh-CN"/>
        </w:rPr>
      </w:pPr>
      <w:r>
        <w:drawing>
          <wp:inline distT="0" distB="0" distL="114300" distR="114300">
            <wp:extent cx="5271135" cy="2162175"/>
            <wp:effectExtent l="0" t="0" r="1905" b="19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numPr>
          <w:ilvl w:val="0"/>
          <w:numId w:val="0"/>
        </w:numPr>
        <w:rPr>
          <w:rStyle w:val="9"/>
          <w:b w:val="0"/>
          <w:bCs w:val="0"/>
          <w:sz w:val="32"/>
        </w:rPr>
      </w:pPr>
      <w:bookmarkStart w:id="4" w:name="_Toc16760"/>
      <w:r>
        <w:rPr>
          <w:rStyle w:val="9"/>
          <w:b/>
          <w:bCs w:val="0"/>
          <w:sz w:val="28"/>
        </w:rPr>
        <w:t>3</w:t>
      </w:r>
      <w:r>
        <w:rPr>
          <w:rStyle w:val="9"/>
          <w:rFonts w:hint="eastAsia"/>
          <w:b/>
          <w:bCs w:val="0"/>
          <w:sz w:val="28"/>
        </w:rPr>
        <w:t xml:space="preserve"> 保函申请</w:t>
      </w:r>
      <w:bookmarkEnd w:id="4"/>
      <w:r>
        <w:rPr>
          <w:rStyle w:val="9"/>
          <w:rFonts w:hint="eastAsia"/>
          <w:b/>
          <w:bCs w:val="0"/>
          <w:sz w:val="28"/>
        </w:rPr>
        <w:t>　</w:t>
      </w:r>
      <w:r>
        <w:rPr>
          <w:rStyle w:val="9"/>
          <w:rFonts w:hint="eastAsia"/>
          <w:b w:val="0"/>
          <w:bCs w:val="0"/>
          <w:sz w:val="32"/>
        </w:rPr>
        <w:t>　</w:t>
      </w:r>
    </w:p>
    <w:p>
      <w:pPr>
        <w:spacing w:before="100" w:beforeAutospacing="1" w:after="100" w:afterAutospacing="1" w:line="420" w:lineRule="auto"/>
        <w:ind w:firstLine="560" w:firstLineChars="200"/>
      </w:pPr>
      <w:r>
        <w:rPr>
          <w:rFonts w:hint="eastAsia" w:ascii="新宋体" w:hAnsi="新宋体" w:eastAsia="新宋体"/>
          <w:sz w:val="28"/>
        </w:rPr>
        <w:t>①进入</w:t>
      </w:r>
      <w:r>
        <w:rPr>
          <w:rFonts w:hint="eastAsia" w:ascii="新宋体" w:hAnsi="新宋体" w:eastAsia="新宋体"/>
          <w:sz w:val="28"/>
          <w:lang w:val="en-US" w:eastAsia="zh-CN"/>
        </w:rPr>
        <w:t>昌吉州</w:t>
      </w:r>
      <w:r>
        <w:rPr>
          <w:rFonts w:hint="eastAsia" w:ascii="新宋体" w:hAnsi="新宋体" w:eastAsia="新宋体"/>
          <w:sz w:val="28"/>
        </w:rPr>
        <w:t>公共资源电子保函</w:t>
      </w:r>
      <w:r>
        <w:rPr>
          <w:rFonts w:hint="eastAsia" w:ascii="新宋体" w:hAnsi="新宋体" w:eastAsia="新宋体"/>
          <w:sz w:val="28"/>
          <w:lang w:val="en-US" w:eastAsia="zh-CN"/>
        </w:rPr>
        <w:t>服务</w:t>
      </w:r>
      <w:r>
        <w:rPr>
          <w:rFonts w:hint="eastAsia" w:ascii="新宋体" w:hAnsi="新宋体" w:eastAsia="新宋体"/>
          <w:sz w:val="28"/>
        </w:rPr>
        <w:t>平台，选择我的投标保函，点击立即申请，进入投标保函申请流程。</w:t>
      </w:r>
    </w:p>
    <w:p>
      <w:pPr>
        <w:rPr>
          <w:rFonts w:hint="eastAsia" w:ascii="新宋体" w:hAnsi="新宋体" w:eastAsia="新宋体"/>
          <w:sz w:val="28"/>
        </w:rPr>
      </w:pPr>
      <w:r>
        <w:drawing>
          <wp:inline distT="0" distB="0" distL="114300" distR="114300">
            <wp:extent cx="5263515" cy="2477770"/>
            <wp:effectExtent l="0" t="0" r="952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beforeAutospacing="1" w:after="100" w:afterAutospacing="1" w:line="420" w:lineRule="auto"/>
        <w:ind w:firstLine="560" w:firstLineChars="200"/>
        <w:rPr>
          <w:rFonts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②选择要投保的项目标段，点击立即申请。</w:t>
      </w:r>
    </w:p>
    <w:p>
      <w:r>
        <w:drawing>
          <wp:inline distT="0" distB="0" distL="114300" distR="114300">
            <wp:extent cx="5273040" cy="2655570"/>
            <wp:effectExtent l="0" t="0" r="0" b="1143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0" w:beforeAutospacing="1" w:after="100" w:afterAutospacing="1" w:line="420" w:lineRule="auto"/>
        <w:ind w:firstLine="560" w:firstLineChars="200"/>
        <w:rPr>
          <w:rFonts w:hint="eastAsia" w:ascii="新宋体" w:hAnsi="新宋体" w:eastAsia="新宋体"/>
          <w:sz w:val="28"/>
        </w:rPr>
      </w:pPr>
      <w:r>
        <w:rPr>
          <w:rFonts w:hint="eastAsia" w:ascii="新宋体" w:hAnsi="新宋体" w:eastAsia="新宋体"/>
          <w:sz w:val="28"/>
        </w:rPr>
        <w:t>③选择</w:t>
      </w:r>
      <w:r>
        <w:rPr>
          <w:rFonts w:hint="eastAsia" w:ascii="新宋体" w:hAnsi="新宋体" w:eastAsia="新宋体"/>
          <w:sz w:val="28"/>
          <w:lang w:val="en-US" w:eastAsia="zh-CN"/>
        </w:rPr>
        <w:t>对应的保函机构</w:t>
      </w:r>
      <w:r>
        <w:rPr>
          <w:rFonts w:hint="eastAsia" w:ascii="新宋体" w:hAnsi="新宋体" w:eastAsia="新宋体"/>
          <w:sz w:val="28"/>
        </w:rPr>
        <w:t>平台，点击确认，跳转到</w:t>
      </w:r>
      <w:r>
        <w:rPr>
          <w:rFonts w:hint="eastAsia" w:ascii="新宋体" w:hAnsi="新宋体" w:eastAsia="新宋体"/>
          <w:sz w:val="28"/>
          <w:lang w:val="en-US" w:eastAsia="zh-CN"/>
        </w:rPr>
        <w:t>保函申请页面</w:t>
      </w:r>
      <w:r>
        <w:rPr>
          <w:rFonts w:hint="eastAsia" w:ascii="新宋体" w:hAnsi="新宋体" w:eastAsia="新宋体"/>
          <w:sz w:val="28"/>
        </w:rPr>
        <w:t>。</w:t>
      </w:r>
    </w:p>
    <w:p>
      <w:pPr>
        <w:spacing w:before="100" w:beforeAutospacing="1" w:after="100" w:afterAutospacing="1" w:line="420" w:lineRule="auto"/>
        <w:rPr>
          <w:rFonts w:hint="eastAsia" w:ascii="新宋体" w:hAnsi="新宋体" w:eastAsia="新宋体"/>
          <w:sz w:val="28"/>
        </w:rPr>
      </w:pPr>
      <w:r>
        <w:drawing>
          <wp:inline distT="0" distB="0" distL="114300" distR="114300">
            <wp:extent cx="5262880" cy="2545080"/>
            <wp:effectExtent l="0" t="0" r="1016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</w:p>
    <w:p/>
    <w:p>
      <w:r>
        <w:drawing>
          <wp:inline distT="0" distB="0" distL="114300" distR="114300">
            <wp:extent cx="5273675" cy="3573780"/>
            <wp:effectExtent l="0" t="0" r="14605" b="762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挑选中国建设银行保函（昌吉建设银行电子保函）需要按照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"附件一建设银行电子保函操作手册V1.pdf"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附件一建设银行电子保函操作手册V1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进行操作。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详细流程请查看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"附件二建设银行电子保函用户申请流程.pdf"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附件二建设银行电子保函用户申请流程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相关资料清单模板请查看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"附件三建设银行电子保函用户申请资料清单.zip"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附件三建设银行电子保函用户申请资料清单</w:t>
      </w:r>
      <w:r>
        <w:rPr>
          <w:rFonts w:hint="eastAsia"/>
          <w:lang w:val="en-US" w:eastAsia="zh-CN"/>
        </w:rPr>
        <w:fldChar w:fldCharType="end"/>
      </w:r>
      <w:bookmarkStart w:id="5" w:name="_GoBack"/>
      <w:bookmarkEnd w:id="5"/>
      <w:r>
        <w:rPr>
          <w:rFonts w:hint="eastAsia"/>
          <w:lang w:val="en-US" w:eastAsia="zh-CN"/>
        </w:rPr>
        <w:t>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object>
          <v:shape id="_x0000_i1025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Package" ShapeID="_x0000_i1025" DrawAspect="Icon" ObjectID="_1468075725" r:id="rId1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val="en-US" w:eastAsia="zh-CN"/>
        </w:rPr>
        <w:object>
          <v:shape id="_x0000_i1026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Package" ShapeID="_x0000_i1026" DrawAspect="Icon" ObjectID="_1468075726" r:id="rId1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val="en-US" w:eastAsia="zh-CN"/>
        </w:rPr>
        <w:object>
          <v:shape id="_x0000_i1027" o:spt="75" type="#_x0000_t75" style="height:65.5pt;width:72.5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Package" ShapeID="_x0000_i1027" DrawAspect="Icon" ObjectID="_1468075727" r:id="rId17">
            <o:LockedField>false</o:LockedField>
          </o:OLEObject>
        </w:object>
      </w:r>
    </w:p>
    <w:p>
      <w:pPr>
        <w:jc w:val="center"/>
      </w:pPr>
    </w:p>
    <w:sectPr>
      <w:headerReference r:id="rId3" w:type="default"/>
      <w:pgSz w:w="11906" w:h="16838"/>
      <w:pgMar w:top="1440" w:right="1800" w:bottom="1440" w:left="1800" w:header="119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single" w:color="auto" w:sz="4" w:space="1"/>
      </w:pBdr>
      <w:jc w:val="right"/>
    </w:pPr>
    <w:r>
      <w:rPr>
        <w:rFonts w:hint="eastAsia"/>
        <w:lang w:val="en-US" w:eastAsia="zh-CN"/>
      </w:rPr>
      <w:t>昌吉州</w:t>
    </w:r>
    <w:r>
      <w:rPr>
        <w:rFonts w:hint="eastAsia"/>
      </w:rPr>
      <w:t>电子保函系统客户端-用户操作手册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F17340"/>
    <w:multiLevelType w:val="multilevel"/>
    <w:tmpl w:val="63F17340"/>
    <w:lvl w:ilvl="0" w:tentative="0">
      <w:start w:val="0"/>
      <w:numFmt w:val="none"/>
      <w:pStyle w:val="2"/>
      <w:lvlText w:val=""/>
      <w:lvlJc w:val="left"/>
      <w:pPr>
        <w:tabs>
          <w:tab w:val="left" w:pos="360"/>
        </w:tabs>
      </w:p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ZkMzJmNTFlNDJhZDU0YTJhMzFkN2I2MzEyODFmNWYifQ=="/>
  </w:docVars>
  <w:rsids>
    <w:rsidRoot w:val="66D3687B"/>
    <w:rsid w:val="000D5D6A"/>
    <w:rsid w:val="002F15F0"/>
    <w:rsid w:val="004B5D14"/>
    <w:rsid w:val="007D6303"/>
    <w:rsid w:val="00B55ECA"/>
    <w:rsid w:val="00B95443"/>
    <w:rsid w:val="00C86467"/>
    <w:rsid w:val="05594D33"/>
    <w:rsid w:val="09CB3BF3"/>
    <w:rsid w:val="0A6A59D0"/>
    <w:rsid w:val="0A9A0D49"/>
    <w:rsid w:val="0AEC2A0E"/>
    <w:rsid w:val="0CE35317"/>
    <w:rsid w:val="16A5695B"/>
    <w:rsid w:val="170928ED"/>
    <w:rsid w:val="189809D6"/>
    <w:rsid w:val="1C32559E"/>
    <w:rsid w:val="22257CD4"/>
    <w:rsid w:val="2B5C5145"/>
    <w:rsid w:val="37D12177"/>
    <w:rsid w:val="3C7A2FBB"/>
    <w:rsid w:val="3CBE4334"/>
    <w:rsid w:val="421F35A5"/>
    <w:rsid w:val="4C18183C"/>
    <w:rsid w:val="54AF0702"/>
    <w:rsid w:val="57E438A6"/>
    <w:rsid w:val="5C61696E"/>
    <w:rsid w:val="60E767CD"/>
    <w:rsid w:val="66D3687B"/>
    <w:rsid w:val="74F2125A"/>
    <w:rsid w:val="7B0E3BD2"/>
    <w:rsid w:val="7C9E6335"/>
    <w:rsid w:val="7CDF439E"/>
    <w:rsid w:val="7D5C084B"/>
    <w:rsid w:val="7F332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widowControl/>
      <w:numPr>
        <w:ilvl w:val="0"/>
        <w:numId w:val="1"/>
      </w:numPr>
      <w:outlineLvl w:val="0"/>
    </w:pPr>
    <w:rPr>
      <w:b/>
      <w:kern w:val="0"/>
      <w:sz w:val="24"/>
      <w:szCs w:val="20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pPr>
      <w:autoSpaceDE w:val="0"/>
      <w:autoSpaceDN w:val="0"/>
      <w:jc w:val="left"/>
    </w:pPr>
    <w:rPr>
      <w:rFonts w:ascii="宋体" w:hAnsi="宋体" w:cs="宋体"/>
      <w:kern w:val="0"/>
      <w:lang w:val="zh-CN" w:bidi="zh-CN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toc 1"/>
    <w:basedOn w:val="1"/>
    <w:next w:val="1"/>
    <w:qFormat/>
    <w:uiPriority w:val="39"/>
    <w:pPr>
      <w:tabs>
        <w:tab w:val="left" w:pos="480"/>
        <w:tab w:val="right" w:leader="dot" w:pos="8890"/>
      </w:tabs>
      <w:spacing w:before="120" w:after="120"/>
      <w:jc w:val="left"/>
    </w:pPr>
    <w:rPr>
      <w:b/>
      <w:bCs/>
      <w:caps/>
      <w:sz w:val="20"/>
      <w:szCs w:val="20"/>
    </w:rPr>
  </w:style>
  <w:style w:type="character" w:styleId="9">
    <w:name w:val="Strong"/>
    <w:qFormat/>
    <w:uiPriority w:val="22"/>
    <w:rPr>
      <w:b/>
      <w:bCs/>
    </w:rPr>
  </w:style>
  <w:style w:type="character" w:styleId="10">
    <w:name w:val="Hyperlink"/>
    <w:basedOn w:val="8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emf"/><Relationship Id="rId17" Type="http://schemas.openxmlformats.org/officeDocument/2006/relationships/oleObject" Target="embeddings/oleObject3.bin"/><Relationship Id="rId16" Type="http://schemas.openxmlformats.org/officeDocument/2006/relationships/image" Target="media/image10.emf"/><Relationship Id="rId15" Type="http://schemas.openxmlformats.org/officeDocument/2006/relationships/oleObject" Target="embeddings/oleObject2.bin"/><Relationship Id="rId14" Type="http://schemas.openxmlformats.org/officeDocument/2006/relationships/image" Target="media/image9.emf"/><Relationship Id="rId13" Type="http://schemas.openxmlformats.org/officeDocument/2006/relationships/oleObject" Target="embeddings/oleObject1.bin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6A12A61-D5AF-4B34-A589-1112B0EF048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570</Words>
  <Characters>603</Characters>
  <Lines>5</Lines>
  <Paragraphs>1</Paragraphs>
  <TotalTime>19</TotalTime>
  <ScaleCrop>false</ScaleCrop>
  <LinksUpToDate>false</LinksUpToDate>
  <CharactersWithSpaces>629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2021-08-09T01:31:00Z</dcterms:created>
  <dc:creator>ε Sgr</dc:creator>
  <cp:lastModifiedBy>Administrator</cp:lastModifiedBy>
  <dcterms:modified xsi:type="dcterms:W3CDTF">2022-05-22T07:15:18Z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B80AD992FF394E058B2B4C730BB5BA49</vt:lpwstr>
  </property>
</Properties>
</file>